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C86B" w14:textId="77777777" w:rsidR="006B6434" w:rsidRDefault="001E33A2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Provoz velkoplošné obrazovky v MSH Mladá Boleslav (U Stadionu 1322)</w:t>
      </w:r>
    </w:p>
    <w:p w14:paraId="2A49876A" w14:textId="77777777" w:rsidR="006B6434" w:rsidRDefault="006B6434">
      <w:pPr>
        <w:pStyle w:val="Text"/>
        <w:rPr>
          <w:sz w:val="28"/>
          <w:szCs w:val="28"/>
        </w:rPr>
      </w:pPr>
    </w:p>
    <w:p w14:paraId="61DCBF7A" w14:textId="77777777" w:rsidR="006B6434" w:rsidRDefault="006B6434">
      <w:pPr>
        <w:pStyle w:val="Text"/>
        <w:rPr>
          <w:b/>
          <w:bCs/>
          <w:sz w:val="28"/>
          <w:szCs w:val="28"/>
        </w:rPr>
      </w:pPr>
    </w:p>
    <w:p w14:paraId="6CAAA095" w14:textId="77777777" w:rsidR="006B6434" w:rsidRDefault="001E33A2" w:rsidP="00F84C52">
      <w:pPr>
        <w:pStyle w:val="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Městská sportovní hala Mladá Boleslav (U Stadionu 1322) disponuje velkoplošnou obrazovkou. Její provoz definují tyto podmínky: </w:t>
      </w:r>
    </w:p>
    <w:p w14:paraId="68DF583B" w14:textId="77777777" w:rsidR="006B6434" w:rsidRDefault="006B6434" w:rsidP="00F84C52">
      <w:pPr>
        <w:pStyle w:val="Text"/>
        <w:jc w:val="both"/>
        <w:rPr>
          <w:sz w:val="28"/>
          <w:szCs w:val="28"/>
        </w:rPr>
      </w:pPr>
    </w:p>
    <w:p w14:paraId="5B48C30C" w14:textId="77777777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Velkoplošnou obrazovku může obsluhovat pouze vyš</w:t>
      </w:r>
      <w:r>
        <w:rPr>
          <w:sz w:val="28"/>
          <w:szCs w:val="28"/>
        </w:rPr>
        <w:t>kolená obsluha.</w:t>
      </w:r>
    </w:p>
    <w:p w14:paraId="116F879E" w14:textId="77777777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 případě zájmu si nájemce může objednat tuto obsluhu od provozovatele Městské sportovní haly Mladá Boleslav, tj. Městské společnosti sportovní a rekreační areály, s.r.o.</w:t>
      </w:r>
    </w:p>
    <w:p w14:paraId="7EB26D38" w14:textId="0F81F119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obsluhy činí </w:t>
      </w:r>
      <w:r w:rsidR="00F84C52">
        <w:rPr>
          <w:sz w:val="28"/>
          <w:szCs w:val="28"/>
        </w:rPr>
        <w:t>400 Kč</w:t>
      </w:r>
      <w:r>
        <w:rPr>
          <w:sz w:val="28"/>
          <w:szCs w:val="28"/>
        </w:rPr>
        <w:t>/hod.</w:t>
      </w:r>
    </w:p>
    <w:p w14:paraId="1E14FFB9" w14:textId="77777777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Objednávku obsluhy je nutné provést u vedo</w:t>
      </w:r>
      <w:r>
        <w:rPr>
          <w:sz w:val="28"/>
          <w:szCs w:val="28"/>
        </w:rPr>
        <w:t>ucího Městské sportovní haly Vojtěcha Kose (</w:t>
      </w:r>
      <w:hyperlink r:id="rId7" w:history="1">
        <w:r>
          <w:rPr>
            <w:rStyle w:val="Hyperlink0"/>
            <w:sz w:val="28"/>
            <w:szCs w:val="28"/>
          </w:rPr>
          <w:t>kos@saramb.cz</w:t>
        </w:r>
      </w:hyperlink>
      <w:r>
        <w:rPr>
          <w:sz w:val="28"/>
          <w:szCs w:val="28"/>
        </w:rPr>
        <w:t xml:space="preserve">) nejpozději deset pracovních dnů před akcí. </w:t>
      </w:r>
    </w:p>
    <w:p w14:paraId="26A311C8" w14:textId="77777777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Obrazovka umožňuje promítání videí ve standardních formátech (MP4, MOV - se zvukem/bez zvuku) a fotek, obrázků, grafi</w:t>
      </w:r>
      <w:r>
        <w:rPr>
          <w:sz w:val="28"/>
          <w:szCs w:val="28"/>
        </w:rPr>
        <w:t xml:space="preserve">ckých podkladů ve formátu JPG (doporučené rozlišení je 1920x1080px). </w:t>
      </w:r>
    </w:p>
    <w:p w14:paraId="58EDFAA0" w14:textId="070AFDFD" w:rsidR="006B6434" w:rsidRDefault="001E33A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Nájemce dodá obsluze veškeré materiály pro obrazovku společně s přehledným harmonogramem promítání obsahu (např. v jakém sledu, v jakých časech, popř. v jakém počtu opakování mají být ma</w:t>
      </w:r>
      <w:r>
        <w:rPr>
          <w:sz w:val="28"/>
          <w:szCs w:val="28"/>
        </w:rPr>
        <w:t xml:space="preserve">teriály promítány) nejpozději hodinu před začátkem akce. </w:t>
      </w:r>
    </w:p>
    <w:p w14:paraId="4BBE8556" w14:textId="024A4B91" w:rsidR="00F84C52" w:rsidRDefault="00F84C52" w:rsidP="00F84C52">
      <w:pPr>
        <w:pStyle w:val="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 přísně zakázáno, aby velkoplošnou obrazovku ovládal divák, pořadatel akce,</w:t>
      </w:r>
      <w:bookmarkStart w:id="0" w:name="_GoBack"/>
      <w:bookmarkEnd w:id="0"/>
      <w:r>
        <w:rPr>
          <w:sz w:val="28"/>
          <w:szCs w:val="28"/>
        </w:rPr>
        <w:t xml:space="preserve"> účastník akce nebo jiná nepovolaná osoba.</w:t>
      </w:r>
    </w:p>
    <w:sectPr w:rsidR="00F84C5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B12E" w14:textId="77777777" w:rsidR="001E33A2" w:rsidRDefault="001E33A2">
      <w:r>
        <w:separator/>
      </w:r>
    </w:p>
  </w:endnote>
  <w:endnote w:type="continuationSeparator" w:id="0">
    <w:p w14:paraId="73624F2D" w14:textId="77777777" w:rsidR="001E33A2" w:rsidRDefault="001E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DC61" w14:textId="77777777" w:rsidR="006B6434" w:rsidRDefault="006B6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D1A36" w14:textId="77777777" w:rsidR="001E33A2" w:rsidRDefault="001E33A2">
      <w:r>
        <w:separator/>
      </w:r>
    </w:p>
  </w:footnote>
  <w:footnote w:type="continuationSeparator" w:id="0">
    <w:p w14:paraId="285E5228" w14:textId="77777777" w:rsidR="001E33A2" w:rsidRDefault="001E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3F95" w14:textId="77777777" w:rsidR="006B6434" w:rsidRDefault="006B64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52E"/>
    <w:multiLevelType w:val="hybridMultilevel"/>
    <w:tmpl w:val="FA86896C"/>
    <w:numStyleLink w:val="Psmena"/>
  </w:abstractNum>
  <w:abstractNum w:abstractNumId="1" w15:restartNumberingAfterBreak="0">
    <w:nsid w:val="3E6C7B03"/>
    <w:multiLevelType w:val="hybridMultilevel"/>
    <w:tmpl w:val="FA86896C"/>
    <w:styleLink w:val="Psmena"/>
    <w:lvl w:ilvl="0" w:tplc="60808DC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CE896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89B0C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2C312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EF6FA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44B64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EE648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3AC4A2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AAD9C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34"/>
    <w:rsid w:val="001E33A2"/>
    <w:rsid w:val="006B6434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C456"/>
  <w15:docId w15:val="{068D6D34-13E2-47BE-93BA-F70B575D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@sara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MB</cp:lastModifiedBy>
  <cp:revision>2</cp:revision>
  <dcterms:created xsi:type="dcterms:W3CDTF">2019-11-27T06:30:00Z</dcterms:created>
  <dcterms:modified xsi:type="dcterms:W3CDTF">2019-11-27T06:34:00Z</dcterms:modified>
</cp:coreProperties>
</file>